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As filed with the Securities and Exchange Commission on August 5, 2026. </w:t>
      </w:r>
    </w:p>
    <w:p>
      <w:pPr>
        <w:pStyle w:val="TextBody"/>
        <w:bidi w:val="0"/>
        <w:spacing w:lineRule="auto" w:line="288" w:before="0" w:after="0"/>
        <w:jc w:val="right"/>
        <w:rPr>
          <w:shd w:fill="FFFFFF" w:val="clear"/>
        </w:rPr>
      </w:pPr>
      <w:r>
        <w:rPr>
          <w:rFonts w:ascii="Times New Roman;serif" w:hAnsi="Times New Roman;serif"/>
          <w:b/>
          <w:color w:val="000000"/>
          <w:sz w:val="16"/>
          <w:shd w:fill="FFFFFF" w:val="clear"/>
        </w:rPr>
        <w:t>Registration No. 333–</w:t>
      </w: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 xml:space="preserve">UNITED STATES </w:t>
      </w:r>
    </w:p>
    <w:p>
      <w:pPr>
        <w:pStyle w:val="TextBody"/>
        <w:bidi w:val="0"/>
        <w:spacing w:lineRule="auto" w:line="288" w:before="0" w:after="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S-1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REGISTRATION STATEMENT </w:t>
      </w:r>
    </w:p>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UNDER </w:t>
      </w:r>
    </w:p>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THE SECURITIES ACT OF 1933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 xml:space="preserve">Braveheart Bio,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757"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747"/>
        <w:gridCol w:w="747"/>
        <w:gridCol w:w="755"/>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2834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99-2981994</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(Primary Standard Industrial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One Letterman Drive, Building A, Suite A4-300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San Francisco, CA 94129</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(415) 707-6312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(Address, including zip code, and telephone number, including area code, of registrant’s principal executive offices)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Travis Murdoch</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Chief Executive Officer</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Braveheart Bio, Inc.</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One Letterman Drive, Building A, Suite A4-300</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San Francisco, CA 94129</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(415) 707-6312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(Name, address, including zip code, and telephone number, including area code, of agent for service)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Copies to: </w:t>
      </w:r>
    </w:p>
    <w:tbl>
      <w:tblPr>
        <w:tblW w:w="8588"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1249"/>
        <w:gridCol w:w="1249"/>
        <w:gridCol w:w="1252"/>
        <w:gridCol w:w="109"/>
        <w:gridCol w:w="109"/>
        <w:gridCol w:w="109"/>
        <w:gridCol w:w="635"/>
        <w:gridCol w:w="635"/>
        <w:gridCol w:w="90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Kingsley L. Taft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Gabriela Morales-Rivera</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Alicia Tschirhart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Goodwin Procter LLP</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100 Northern Avenue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Boston, MA 02210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(617) 570-1000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Paul Rickey</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Braveheart Bio, Inc.</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One Letterman Drive, Building A, Suite A4-300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Francisco, CA 94129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Brian K. Rosenzweig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Alicia Zhang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Charles A. Dobb</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Covington &amp; Burling LLP</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30 Hudson Yards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NY 10001</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841-1000</w:t>
            </w:r>
          </w:p>
        </w:tc>
      </w:tr>
    </w:tbl>
    <w:p>
      <w:pPr>
        <w:pStyle w:val="TextBody"/>
        <w:bidi w:val="0"/>
        <w:spacing w:lineRule="auto" w:line="288" w:before="0" w:after="60"/>
        <w:jc w:val="left"/>
        <w:rPr>
          <w:shd w:fill="FFFFFF" w:val="clear"/>
        </w:rPr>
      </w:pPr>
      <w:r>
        <w:rPr>
          <w:rFonts w:ascii="Times New Roman;serif" w:hAnsi="Times New Roman;serif"/>
          <w:b/>
          <w:color w:val="000000"/>
          <w:sz w:val="18"/>
          <w:shd w:fill="FFFFFF" w:val="clear"/>
        </w:rPr>
        <w:t>Approximate date of commencement of proposed sale to the public</w:t>
      </w:r>
      <w:r>
        <w:rPr>
          <w:rFonts w:ascii="Times New Roman;serif" w:hAnsi="Times New Roman;serif"/>
          <w:b w:val="false"/>
          <w:color w:val="000000"/>
          <w:sz w:val="18"/>
          <w:shd w:fill="FFFFFF" w:val="clear"/>
        </w:rPr>
        <w:t xml:space="preserve">: As soon as practicable after the effective date of this registration statement. </w:t>
      </w:r>
    </w:p>
    <w:p>
      <w:pPr>
        <w:pStyle w:val="TextBody"/>
        <w:bidi w:val="0"/>
        <w:spacing w:lineRule="auto" w:line="288" w:before="0" w:after="60"/>
        <w:jc w:val="left"/>
        <w:rPr>
          <w:shd w:fill="FFFFFF" w:val="clear"/>
        </w:rPr>
      </w:pPr>
      <w:r>
        <w:rPr>
          <w:rFonts w:ascii="Times New Roman;serif" w:hAnsi="Times New Roman;serif"/>
          <w:b w:val="false"/>
          <w:color w:val="000000"/>
          <w:sz w:val="18"/>
          <w:shd w:fill="FFFFFF" w:val="clear"/>
        </w:rPr>
        <w:t>If any of the securities being registered on this Form are to be offered on a delayed or continuous basis pursuant to Rule 415 under the Securities Act of 1933, check the following box. </w:t>
      </w:r>
      <w:r>
        <w:rPr>
          <w:color w:val="000000"/>
          <w:shd w:fill="FFFFFF" w:val="clear"/>
        </w:rPr>
        <w:t xml:space="preserve">☐ </w:t>
      </w:r>
    </w:p>
    <w:p>
      <w:pPr>
        <w:pStyle w:val="TextBody"/>
        <w:bidi w:val="0"/>
        <w:spacing w:lineRule="auto" w:line="288" w:before="0" w:after="60"/>
        <w:jc w:val="left"/>
        <w:rPr>
          <w:shd w:fill="FFFFFF" w:val="clear"/>
        </w:rPr>
      </w:pPr>
      <w:r>
        <w:rPr>
          <w:rFonts w:ascii="Times New Roman;serif" w:hAnsi="Times New Roman;serif"/>
          <w:b w:val="false"/>
          <w:color w:val="000000"/>
          <w:sz w:val="18"/>
          <w:shd w:fill="FFFFFF" w:val="clear"/>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shd w:fill="FFFFFF" w:val="clear"/>
        </w:rPr>
        <w:t>☒ </w:t>
      </w:r>
      <w:r>
        <w:rPr>
          <w:rFonts w:ascii="Times New Roman;serif" w:hAnsi="Times New Roman;serif"/>
          <w:b/>
          <w:color w:val="000000"/>
          <w:sz w:val="18"/>
          <w:shd w:fill="FFFFFF" w:val="clear"/>
        </w:rPr>
        <w:t>333-297456</w:t>
      </w:r>
    </w:p>
    <w:p>
      <w:pPr>
        <w:pStyle w:val="TextBody"/>
        <w:bidi w:val="0"/>
        <w:spacing w:lineRule="auto" w:line="288" w:before="0" w:after="60"/>
        <w:jc w:val="left"/>
        <w:rPr>
          <w:shd w:fill="FFFFFF" w:val="clear"/>
        </w:rPr>
      </w:pPr>
      <w:r>
        <w:rPr>
          <w:rFonts w:ascii="Times New Roman;serif" w:hAnsi="Times New Roman;serif"/>
          <w:b w:val="false"/>
          <w:color w:val="000000"/>
          <w:sz w:val="18"/>
          <w:shd w:fill="FFFFFF" w:val="clear"/>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shd w:fill="FFFFFF" w:val="clear"/>
        </w:rPr>
        <w:t xml:space="preserve">☐ </w:t>
      </w:r>
    </w:p>
    <w:p>
      <w:pPr>
        <w:pStyle w:val="TextBody"/>
        <w:bidi w:val="0"/>
        <w:spacing w:lineRule="auto" w:line="288" w:before="0" w:after="60"/>
        <w:jc w:val="left"/>
        <w:rPr>
          <w:shd w:fill="FFFFFF" w:val="clear"/>
        </w:rPr>
      </w:pPr>
      <w:r>
        <w:rPr>
          <w:rFonts w:ascii="Times New Roman;serif" w:hAnsi="Times New Roman;serif"/>
          <w:b w:val="false"/>
          <w:color w:val="000000"/>
          <w:sz w:val="18"/>
          <w:shd w:fill="FFFFFF" w:val="clear"/>
        </w:rPr>
        <w:t>If this Form is a post-effective amendment filed pursuant to Rule 462(d) under the Securities Act, check the following box and list the Securities Act registration statement number of the earlier effective registration statement for the same offering. </w:t>
      </w:r>
      <w:r>
        <w:rPr>
          <w:color w:val="000000"/>
          <w:shd w:fill="FFFFFF" w:val="clear"/>
        </w:rPr>
        <w:t xml:space="preserve">☐ </w:t>
      </w:r>
    </w:p>
    <w:p>
      <w:pPr>
        <w:pStyle w:val="TextBody"/>
        <w:bidi w:val="0"/>
        <w:spacing w:lineRule="auto" w:line="288" w:before="0" w:after="6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60"/>
        <w:jc w:val="left"/>
        <w:rPr>
          <w:shd w:fill="FFFFFF" w:val="clear"/>
        </w:rPr>
      </w:pPr>
      <w:r>
        <w:rPr>
          <w:rFonts w:ascii="Times New Roman;serif" w:hAnsi="Times New Roman;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shd w:fill="FFFFFF" w:val="clear"/>
        </w:rPr>
        <w:t xml:space="preserve">☐ </w:t>
      </w:r>
    </w:p>
    <w:p>
      <w:pPr>
        <w:pStyle w:val="TextBody"/>
        <w:bidi w:val="0"/>
        <w:spacing w:lineRule="auto" w:line="288" w:before="0" w:after="0"/>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The Registration Statement shall become effective upon filing in accordance with Rule 462(b) promulgated under the Securities Act of 1933, as amended.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EXPLANATORY NOTE AND INCORPORATION BY REFERENCE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Registration Statement is being filed pursuant to Rule 462(b) under the Securities Act of 1933, as amended (the “Securities Act”), for the sole purpose of increasing the aggregate number of shares of common stock offered by Braveheart Bio, Inc. (the “Registrant”) by 2,875,000 shares, 375,000 of which are subject to purchase upon exercise of the underwriters’ option to purchase additional shares of the Registrant’s common stock. The contents of the Registration Statement on Form S-1, as amended (File No. 333-297456), filed by the Registrant with the Securities and Exchange Commission (the “Commission”) pursuant to the Securities Act, which was declared effective by the Commission on August 5, 2026, including all exhibits thereto (the “Prior Registration Statement”), are incorporated by reference into this Registration Statement. The additional shares of common stock that are being registered for issuance and sale pursuant to this Registration Statement are in an amount and at a price that together represents no more than 20% of the maximum aggregate offering price set forth in the filing fee table filed as Exhibit 107 of the Prior Registration Statement.</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required opinion and consents are listed on an Exhibit Index attached hereto and filed herewith.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EXHIBIT INDEX </w:t>
      </w:r>
    </w:p>
    <w:tbl>
      <w:tblPr>
        <w:tblW w:w="60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492"/>
        <w:gridCol w:w="1492"/>
        <w:gridCol w:w="211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Index</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1mef.htm">
              <w:r>
                <w:rPr>
                  <w:rStyle w:val="InternetLink"/>
                  <w:rFonts w:ascii="Times New Roman;serif" w:hAnsi="Times New Roman;serif"/>
                  <w:b w:val="false"/>
                  <w:color w:val="0000FF"/>
                  <w:sz w:val="20"/>
                  <w:u w:val="single"/>
                </w:rPr>
                <w:t xml:space="preserve">Opinion of Goodwin Procter LLP.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1mef.htm">
              <w:r>
                <w:rPr>
                  <w:rStyle w:val="InternetLink"/>
                  <w:rFonts w:ascii="Times New Roman;serif" w:hAnsi="Times New Roman;serif"/>
                  <w:b w:val="false"/>
                  <w:color w:val="000080"/>
                  <w:sz w:val="20"/>
                  <w:u w:val="single"/>
                </w:rPr>
                <w:t xml:space="preserve">Consent of </w:t>
              </w:r>
            </w:hyperlink>
            <w:hyperlink w:anchor="exhibit231-sx1mef.htm">
              <w:r>
                <w:rPr>
                  <w:rStyle w:val="InternetLink"/>
                  <w:rFonts w:ascii="Times New Roman;serif" w:hAnsi="Times New Roman;serif"/>
                  <w:b w:val="false"/>
                  <w:color w:val="000080"/>
                  <w:sz w:val="20"/>
                  <w:u w:val="single"/>
                </w:rPr>
                <w:t>I</w:t>
              </w:r>
            </w:hyperlink>
            <w:hyperlink w:anchor="exhibit231-sx1mef.htm">
              <w:r>
                <w:rPr>
                  <w:rStyle w:val="InternetLink"/>
                  <w:rFonts w:ascii="Times New Roman;serif" w:hAnsi="Times New Roman;serif"/>
                  <w:b w:val="false"/>
                  <w:color w:val="000080"/>
                  <w:sz w:val="20"/>
                  <w:u w:val="single"/>
                </w:rPr>
                <w:t xml:space="preserve">ndependent </w:t>
              </w:r>
            </w:hyperlink>
            <w:hyperlink w:anchor="exhibit231-sx1mef.htm">
              <w:r>
                <w:rPr>
                  <w:rStyle w:val="InternetLink"/>
                  <w:rFonts w:ascii="Times New Roman;serif" w:hAnsi="Times New Roman;serif"/>
                  <w:b w:val="false"/>
                  <w:color w:val="000080"/>
                  <w:sz w:val="20"/>
                  <w:u w:val="single"/>
                </w:rPr>
                <w:t>R</w:t>
              </w:r>
            </w:hyperlink>
            <w:hyperlink w:anchor="exhibit231-sx1mef.htm">
              <w:r>
                <w:rPr>
                  <w:rStyle w:val="InternetLink"/>
                  <w:rFonts w:ascii="Times New Roman;serif" w:hAnsi="Times New Roman;serif"/>
                  <w:b w:val="false"/>
                  <w:color w:val="000080"/>
                  <w:sz w:val="20"/>
                  <w:u w:val="single"/>
                </w:rPr>
                <w:t xml:space="preserve">egistered </w:t>
              </w:r>
            </w:hyperlink>
            <w:hyperlink w:anchor="exhibit231-sx1mef.htm">
              <w:r>
                <w:rPr>
                  <w:rStyle w:val="InternetLink"/>
                  <w:rFonts w:ascii="Times New Roman;serif" w:hAnsi="Times New Roman;serif"/>
                  <w:b w:val="false"/>
                  <w:color w:val="000080"/>
                  <w:sz w:val="20"/>
                  <w:u w:val="single"/>
                </w:rPr>
                <w:t>P</w:t>
              </w:r>
            </w:hyperlink>
            <w:hyperlink w:anchor="exhibit231-sx1mef.htm">
              <w:r>
                <w:rPr>
                  <w:rStyle w:val="InternetLink"/>
                  <w:rFonts w:ascii="Times New Roman;serif" w:hAnsi="Times New Roman;serif"/>
                  <w:b w:val="false"/>
                  <w:color w:val="000080"/>
                  <w:sz w:val="20"/>
                  <w:u w:val="single"/>
                </w:rPr>
                <w:t xml:space="preserve">ublic </w:t>
              </w:r>
            </w:hyperlink>
            <w:hyperlink w:anchor="exhibit231-sx1mef.htm">
              <w:r>
                <w:rPr>
                  <w:rStyle w:val="InternetLink"/>
                  <w:rFonts w:ascii="Times New Roman;serif" w:hAnsi="Times New Roman;serif"/>
                  <w:b w:val="false"/>
                  <w:color w:val="000080"/>
                  <w:sz w:val="20"/>
                  <w:u w:val="single"/>
                </w:rPr>
                <w:t>A</w:t>
              </w:r>
            </w:hyperlink>
            <w:hyperlink w:anchor="exhibit231-sx1mef.htm">
              <w:r>
                <w:rPr>
                  <w:rStyle w:val="InternetLink"/>
                  <w:rFonts w:ascii="Times New Roman;serif" w:hAnsi="Times New Roman;serif"/>
                  <w:b w:val="false"/>
                  <w:color w:val="000080"/>
                  <w:sz w:val="20"/>
                  <w:u w:val="single"/>
                </w:rPr>
                <w:t xml:space="preserve">ccounting </w:t>
              </w:r>
            </w:hyperlink>
            <w:hyperlink w:anchor="exhibit231-sx1mef.htm">
              <w:r>
                <w:rPr>
                  <w:rStyle w:val="InternetLink"/>
                  <w:rFonts w:ascii="Times New Roman;serif" w:hAnsi="Times New Roman;serif"/>
                  <w:b w:val="false"/>
                  <w:color w:val="000080"/>
                  <w:sz w:val="20"/>
                  <w:u w:val="single"/>
                </w:rPr>
                <w:t>F</w:t>
              </w:r>
            </w:hyperlink>
            <w:hyperlink w:anchor="exhibit231-sx1mef.htm">
              <w:r>
                <w:rPr>
                  <w:rStyle w:val="InternetLink"/>
                  <w:rFonts w:ascii="Times New Roman;serif" w:hAnsi="Times New Roman;serif"/>
                  <w:b w:val="false"/>
                  <w:color w:val="000080"/>
                  <w:sz w:val="20"/>
                  <w:u w:val="single"/>
                </w:rPr>
                <w:t xml:space="preserve">irm.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1mef.htm">
              <w:r>
                <w:rPr>
                  <w:rStyle w:val="InternetLink"/>
                  <w:rFonts w:ascii="Times New Roman;serif" w:hAnsi="Times New Roman;serif"/>
                  <w:b w:val="false"/>
                  <w:color w:val="0000FF"/>
                  <w:sz w:val="20"/>
                  <w:u w:val="single"/>
                </w:rPr>
                <w:t xml:space="preserve">Consent of Goodwin Procter LLP (included in Exhibit 5.1)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"https://www.sec.gov/Archives/edgar/data/2131524/000162828026048213/braveheartbioinc-sx1.htm" \l "ia030d1df3a504b7c833c4ada3e2f7a28_826"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 xml:space="preserve">Power of Attorney (included on signature page). </w:t>
            </w:r>
            <w:r>
              <w:rPr>
                <w:rStyle w:val="InternetLink"/>
                <w:sz w:val="20"/>
                <w:u w:val="single"/>
                <w:b w:val="false"/>
                <w:rFonts w:ascii="Times New Roman;serif" w:hAnsi="Times New Roman;serif"/>
                <w:color w:val="0000FF"/>
              </w:rPr>
              <w:fldChar w:fldCharType="end"/>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 xml:space="preserve">Filing Fee Table </w:t>
              </w:r>
            </w:hyperlink>
          </w:p>
        </w:tc>
      </w:tr>
    </w:tbl>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__________________</w:t>
      </w:r>
    </w:p>
    <w:p>
      <w:pPr>
        <w:pStyle w:val="TextBody"/>
        <w:bidi w:val="0"/>
        <w:spacing w:lineRule="auto" w:line="288" w:before="0" w:after="18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*Previously filed on the signature page to the Registrant’s Registration Statement on Form S-1, as amended (File No. 333-297456), originally filed with the Securities and Exchange Commission on July 15, 2026 and incorporated by reference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Act of 1933, as amended, the registrant has duly caused this registration statement on Form S-1 to be signed on its behalf by the undersigned, thereunto duly authorized, in the City of San Francisco, California, on the 5th day of August, 2026. </w:t>
      </w:r>
    </w:p>
    <w:tbl>
      <w:tblPr>
        <w:tblW w:w="4362" w:type="dxa"/>
        <w:jc w:val="right"/>
        <w:tblInd w:w="0" w:type="dxa"/>
        <w:tblLayout w:type="fixed"/>
        <w:tblCellMar>
          <w:top w:w="28" w:type="dxa"/>
          <w:left w:w="28" w:type="dxa"/>
          <w:bottom w:w="28" w:type="dxa"/>
          <w:right w:w="28" w:type="dxa"/>
        </w:tblCellMar>
      </w:tblPr>
      <w:tblGrid>
        <w:gridCol w:w="418"/>
        <w:gridCol w:w="367"/>
        <w:gridCol w:w="367"/>
        <w:gridCol w:w="934"/>
        <w:gridCol w:w="934"/>
        <w:gridCol w:w="1342"/>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43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BRAVEHEART BIO, INC.</w:t>
            </w:r>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Travis Murdoch</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Travis Murdoch, M.D.</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Act of 1933, as amended, this Registration Statement on Form S-1 has been signed by the following person in the capacities and on the date indicated. </w:t>
      </w:r>
    </w:p>
    <w:tbl>
      <w:tblPr>
        <w:tblW w:w="10205" w:type="dxa"/>
        <w:jc w:val="left"/>
        <w:tblInd w:w="0" w:type="dxa"/>
        <w:tblLayout w:type="fixed"/>
        <w:tblCellMar>
          <w:top w:w="28" w:type="dxa"/>
          <w:left w:w="28" w:type="dxa"/>
          <w:bottom w:w="28" w:type="dxa"/>
          <w:right w:w="28" w:type="dxa"/>
        </w:tblCellMar>
      </w:tblPr>
      <w:tblGrid>
        <w:gridCol w:w="862"/>
        <w:gridCol w:w="721"/>
        <w:gridCol w:w="727"/>
        <w:gridCol w:w="109"/>
        <w:gridCol w:w="109"/>
        <w:gridCol w:w="109"/>
        <w:gridCol w:w="1998"/>
        <w:gridCol w:w="1974"/>
        <w:gridCol w:w="2001"/>
        <w:gridCol w:w="109"/>
        <w:gridCol w:w="109"/>
        <w:gridCol w:w="109"/>
        <w:gridCol w:w="369"/>
        <w:gridCol w:w="369"/>
        <w:gridCol w:w="530"/>
      </w:tblGrid>
      <w:tr>
        <w:trPr/>
        <w:tc>
          <w:tcPr>
            <w:tcW w:w="86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Travis Murdoch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Travis Murdoch,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 Paul Rickey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Chief Financial Officer (</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 Paul Rickey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Viehbacher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Jasper Bos,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Erez Chimovits, M.B.A., M.Sc.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Coloma, Ph.D.,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Tim Lohoff,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C. Lubner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Malek,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2264" w:type="dxa"/>
        <w:jc w:val="left"/>
        <w:tblInd w:w="0" w:type="dxa"/>
        <w:tblLayout w:type="fixed"/>
        <w:tblCellMar>
          <w:top w:w="28" w:type="dxa"/>
          <w:left w:w="28" w:type="dxa"/>
          <w:bottom w:w="28" w:type="dxa"/>
          <w:right w:w="28" w:type="dxa"/>
        </w:tblCellMar>
      </w:tblPr>
      <w:tblGrid>
        <w:gridCol w:w="206"/>
        <w:gridCol w:w="181"/>
        <w:gridCol w:w="183"/>
        <w:gridCol w:w="496"/>
        <w:gridCol w:w="496"/>
        <w:gridCol w:w="70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By:</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Travis Murdoch</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Travis Murdoch</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Attorney-in-Fact</w:t>
            </w:r>
          </w:p>
        </w:tc>
      </w:tr>
    </w:tbl>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Braveheart Bio,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2,875,000 </w:t>
            </w:r>
          </w:p>
        </w:tc>
        <w:tc>
          <w:tcPr>
            <w:tcW w:w="1156" w:type="dxa"/>
            <w:tcBorders/>
            <w:shd w:fill="E7E7E2" w:val="clear"/>
            <w:vAlign w:val="center"/>
          </w:tcPr>
          <w:p>
            <w:pPr>
              <w:pStyle w:val="TableContents"/>
              <w:bidi w:val="0"/>
              <w:spacing w:before="0" w:after="283"/>
              <w:jc w:val="right"/>
              <w:rPr/>
            </w:pPr>
            <w:r>
              <w:rPr/>
              <w:t xml:space="preserve">$ 18.00 </w:t>
            </w:r>
          </w:p>
        </w:tc>
        <w:tc>
          <w:tcPr>
            <w:tcW w:w="1666" w:type="dxa"/>
            <w:tcBorders/>
            <w:shd w:fill="E7E7E2" w:val="clear"/>
            <w:vAlign w:val="center"/>
          </w:tcPr>
          <w:p>
            <w:pPr>
              <w:pStyle w:val="TableContents"/>
              <w:bidi w:val="0"/>
              <w:spacing w:before="0" w:after="283"/>
              <w:jc w:val="right"/>
              <w:rPr/>
            </w:pPr>
            <w:r>
              <w:rPr/>
              <w:t xml:space="preserve">$ 51,750,000.00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$ 7,146.68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 w:name="MaxAggtOfferingPrice"/>
            <w:bookmarkEnd w:id="4"/>
            <w:r>
              <w:rPr/>
              <w:t xml:space="preserve">$ 51,750,000.00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$ 7,146.68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$ 7,146.68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Represents only the additional number of shares being registered and includes 375,000 shares of common stock that the underwriters have the option to purchase. Does not include the securities that the Registrant previously registered on the Registration Statement on Form S-1 (File No. 333-297456), as amended (the "Prior Registration Statement"). (b) Estimated solely for the purpose of computing the registration fee in accordance with Rule 457(a) under the Securities Act of 1933, as amended (the "Securities Act"). (c) The Registrant previously registered securities on the Prior Registration Statement having a proposed maximum aggregate offering price of $366,562,500.00, which was declared effective by the Securities and Exchange Commission on August 5, 2026. In accordance with Rule 462(b) under the Securities Act, an additional amount of securities having a proposed maximum aggregate offering price of $18.00 per share is hereby registered, which includes shares issuable upon the exercise of the underwriters' option to purchase additional shares.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August 5,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Braveheart Bio,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One Letterman Drive, Building A, Suite A4-300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San Francisco, CA 94129</w:t>
      </w:r>
    </w:p>
    <w:p>
      <w:pPr>
        <w:pStyle w:val="TextBody"/>
        <w:bidi w:val="0"/>
        <w:spacing w:before="0" w:after="0"/>
        <w:jc w:val="left"/>
        <w:rPr/>
      </w:pPr>
      <w:r>
        <w:rPr/>
      </w:r>
    </w:p>
    <w:p>
      <w:pPr>
        <w:pStyle w:val="TextBody"/>
        <w:bidi w:val="0"/>
        <w:spacing w:lineRule="auto" w:line="288" w:before="0" w:after="180"/>
        <w:ind w:left="0" w:right="0" w:firstLine="720"/>
        <w:jc w:val="left"/>
        <w:rPr/>
      </w:pPr>
      <w:r>
        <w:rPr>
          <w:rFonts w:ascii="Times New Roman;serif" w:hAnsi="Times New Roman;serif"/>
          <w:b w:val="false"/>
          <w:color w:val="000000"/>
          <w:sz w:val="22"/>
        </w:rPr>
        <w:t>Re:    </w:t>
      </w:r>
      <w:r>
        <w:rPr>
          <w:rFonts w:ascii="Times New Roman;serif" w:hAnsi="Times New Roman;serif"/>
          <w:b w:val="false"/>
          <w:color w:val="000000"/>
          <w:sz w:val="22"/>
          <w:u w:val="single"/>
        </w:rPr>
        <w:t>Securities Registered under Registration Statement on Form S-1</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We have acted as counsel to you in connection with your filing of (i) a Registration Statement on Form S-1 (File No. 333-297456) (as amended or supplemented, the “Initial Registration Statement”) pursuant to the Securities Act of 1933, as amended (the “Securities Act”) and (ii) a second Registration Statement on Form S-1 filed pursuant to Rule 462(b) promulgated under the Securities Act (the “462(b) Registration Statement,” and together with the Initial Registration Statement, the “Registration Statement”). This opinion letter is being furnished to you in connection with your filing of the 462(b) Registration Statement relating to the registration of the offering by Braveheart Bio, Inc., a Delaware corporation (the “Company”), of up to 2,875,000 shares (the “Shares”) of the Company’s Common Stock, $0.0001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The opinion set forth below is limited to the Delaware General Corporation Law.</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Based on the foregoing, we are of the opinion that the Shares have been duly authorized and, when delivered and paid for in accordance with the terms of the Underwriting Agreement, will be validly issued, fully paid and non-assessable.</w:t>
      </w:r>
    </w:p>
    <w:p>
      <w:pPr>
        <w:pStyle w:val="TextBody"/>
        <w:bidi w:val="0"/>
        <w:spacing w:lineRule="auto" w:line="288" w:before="0" w:after="180"/>
        <w:jc w:val="left"/>
        <w:rPr/>
      </w:pPr>
      <w:r>
        <w:rPr>
          <w:rFonts w:ascii="Times New Roman;serif" w:hAnsi="Times New Roman;serif"/>
          <w:b w:val="false"/>
          <w:color w:val="000000"/>
          <w:sz w:val="22"/>
        </w:rPr>
        <w:t xml:space="preserve">This opinion letter and the opinion it contains shall be interpreted in accordance with the Core Opinion Principles as published in 74 </w:t>
      </w:r>
      <w:r>
        <w:rPr>
          <w:rFonts w:ascii="Times New Roman;serif" w:hAnsi="Times New Roman;serif"/>
          <w:b w:val="false"/>
          <w:i/>
          <w:color w:val="000000"/>
          <w:sz w:val="22"/>
        </w:rPr>
        <w:t>Business Lawyer</w:t>
      </w:r>
      <w:r>
        <w:rPr>
          <w:color w:val="000000"/>
        </w:rPr>
        <w:t xml:space="preserve"> </w:t>
      </w:r>
      <w:r>
        <w:rPr>
          <w:rFonts w:ascii="Times New Roman;serif" w:hAnsi="Times New Roman;serif"/>
          <w:b w:val="false"/>
          <w:color w:val="000000"/>
          <w:sz w:val="22"/>
        </w:rPr>
        <w:t>815 (Summer 2019).</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We hereby consent to the inclusion of this opinion as Exhibit 5.1 to the 462(b)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tbl>
      <w:tblPr>
        <w:tblW w:w="3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1"/>
        <w:gridCol w:w="421"/>
        <w:gridCol w:w="421"/>
        <w:gridCol w:w="421"/>
        <w:gridCol w:w="421"/>
        <w:gridCol w:w="5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 Goodwin Procter </w:t>
            </w:r>
            <w:r>
              <w:rPr>
                <w:rFonts w:ascii="Times New Roman;serif" w:hAnsi="Times New Roman;serif"/>
                <w:b w:val="false"/>
                <w:color w:val="000000"/>
                <w:sz w:val="18"/>
              </w:rPr>
              <w:t>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GOODWIN PROCTER </w:t>
            </w:r>
            <w:r>
              <w:rPr>
                <w:rFonts w:ascii="Times New Roman;serif" w:hAnsi="Times New Roman;serif"/>
                <w:b w:val="false"/>
                <w:color w:val="000000"/>
                <w:sz w:val="18"/>
              </w:rPr>
              <w:t>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Registration Statement on Form S-1 filed pursuant to Rule 462(b) of the Securities Act of 1933 of the reference to our firm under the caption “Experts” and to the incorporation by reference of our report dated April 29, 2026 (except for the effects of the reverse stock split described in Note 12, as to which the date is July 29, 2026), with respect to the financial statements of Braveheart Bio, Inc. included in Amendment No. 1 to the Registration Statement (Form S-1 No. 333-297456) and related Prospectus of Braveheart Bio, Inc. for the registration of its common stock.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 Ernst &amp; Young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 Mateo, California</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August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1930</Words>
  <Characters>10664</Characters>
  <CharactersWithSpaces>12479</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