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170-1_3seq1.xml.htm"/>
      <w:bookmarkStart w:id="1" w:name="kstm26221701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084"/>
        <w:gridCol w:w="1350"/>
        <w:gridCol w:w="2746"/>
        <w:gridCol w:w="2025"/>
      </w:tblGrid>
      <w:tr>
        <w:trPr/>
        <w:tc>
          <w:tcPr>
            <w:tcW w:w="4084"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4"/>
            </w:tblGrid>
            <w:tr>
              <w:trPr/>
              <w:tc>
                <w:tcPr>
                  <w:tcW w:w="3964" w:type="dxa"/>
                  <w:tcBorders/>
                  <w:vAlign w:val="center"/>
                </w:tcPr>
                <w:p>
                  <w:pPr>
                    <w:pStyle w:val="TableContents"/>
                    <w:bidi w:val="0"/>
                    <w:spacing w:before="0" w:after="283"/>
                    <w:jc w:val="left"/>
                    <w:rPr/>
                  </w:pPr>
                  <w:hyperlink r:id="rId2">
                    <w:r>
                      <w:rPr>
                        <w:rStyle w:val="InternetLink"/>
                      </w:rPr>
                      <w:t>Jiangsu Hengrui Pharmaceuticals Co.,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1"/>
              <w:gridCol w:w="1321"/>
              <w:gridCol w:w="1322"/>
            </w:tblGrid>
            <w:tr>
              <w:trPr/>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4"/>
            </w:tblGrid>
            <w:tr>
              <w:trPr/>
              <w:tc>
                <w:tcPr>
                  <w:tcW w:w="396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 KUNLUNSHAN RD, ECON. &amp; TECH. DEV. ZONE</w:t>
                  </w:r>
                </w:p>
              </w:tc>
            </w:tr>
            <w:tr>
              <w:trPr/>
              <w:tc>
                <w:tcPr>
                  <w:tcW w:w="396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1"/>
              <w:gridCol w:w="1321"/>
              <w:gridCol w:w="1322"/>
            </w:tblGrid>
            <w:tr>
              <w:trPr/>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LIANYUNGANG</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JIANGSU</w:t>
                  </w:r>
                </w:p>
              </w:tc>
              <w:tc>
                <w:tcPr>
                  <w:tcW w:w="132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1"/>
              <w:gridCol w:w="1321"/>
              <w:gridCol w:w="1322"/>
            </w:tblGrid>
            <w:tr>
              <w:trPr/>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4"/>
            </w:tblGrid>
            <w:tr>
              <w:trPr/>
              <w:tc>
                <w:tcPr>
                  <w:tcW w:w="396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35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08/05/2026</w:t>
            </w:r>
          </w:p>
        </w:tc>
        <w:tc>
          <w:tcPr>
            <w:tcW w:w="4771"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Braveheart Bio, Inc.</w:t>
              </w:r>
            </w:hyperlink>
            <w:r>
              <w:rPr/>
              <w:t xml:space="preserve"> [ </w:t>
            </w:r>
            <w:r>
              <w:rPr>
                <w:rFonts w:ascii="Times;serif" w:hAnsi="Times;serif"/>
                <w:color w:val="0000FF"/>
                <w:sz w:val="24"/>
                <w:shd w:fill="FFFFFF" w:val="clear"/>
              </w:rPr>
              <w:t>BRVE</w:t>
            </w:r>
            <w:r>
              <w:rPr/>
              <w:t xml:space="preserve"> ] </w:t>
              <w:br/>
            </w:r>
            <w:r>
              <w:rPr>
                <w:rFonts w:ascii="arial;helvetica;sans-serif" w:hAnsi="arial;helvetica;sans-serif"/>
                <w:sz w:val="20"/>
              </w:rPr>
              <w:t>Foreign Trading Symbol</w:t>
            </w:r>
          </w:p>
        </w:tc>
      </w:tr>
      <w:tr>
        <w:trPr/>
        <w:tc>
          <w:tcPr>
            <w:tcW w:w="40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3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2746"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393"/>
              <w:gridCol w:w="920"/>
              <w:gridCol w:w="393"/>
              <w:gridCol w:w="920"/>
            </w:tblGrid>
            <w:tr>
              <w:trPr/>
              <w:tc>
                <w:tcPr>
                  <w:tcW w:w="39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39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9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39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39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626"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025"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4084"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35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74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025"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285"/>
              <w:gridCol w:w="1620"/>
            </w:tblGrid>
            <w:tr>
              <w:trPr/>
              <w:tc>
                <w:tcPr>
                  <w:tcW w:w="285"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6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285"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87"/>
        <w:gridCol w:w="1221"/>
        <w:gridCol w:w="1121"/>
        <w:gridCol w:w="1262"/>
        <w:gridCol w:w="1135"/>
        <w:gridCol w:w="1249"/>
        <w:gridCol w:w="1206"/>
        <w:gridCol w:w="132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6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3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Non-voting Series A preferred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7,420,091</w:t>
            </w:r>
          </w:p>
        </w:tc>
        <w:tc>
          <w:tcPr>
            <w:tcW w:w="12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non-voting Series A preferred stock (the "Preferred Stock") of the Issuer are convertible into shares of Common Stock of the Issuer at the holder's election and have no expiration date. All shares of the Preferred Stock will automatically convert into shares of Common Stock immediately prior to the closing of the Issuer's initial public offering of its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Jiangsu Hengrui Pharmaceuticals Co., Ltd. /s/ Lau Kin Chun, Chief Financial Officer, on behalf of Jiangsu Hengrui Pharmaceuticals Co., Ltd.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80343" TargetMode="External"/><Relationship Id="rId3" Type="http://schemas.openxmlformats.org/officeDocument/2006/relationships/hyperlink" Target="http://www.sec.gov/cgi-bin/browse-edgar?action=getcompany&amp;CIK=000213152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479</Words>
  <Characters>2654</Characters>
  <CharactersWithSpaces>3082</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