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685-1_4seq1.xml.htm"/>
      <w:bookmarkStart w:id="1" w:name="kstm2622685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082"/>
        <w:gridCol w:w="3088"/>
        <w:gridCol w:w="3035"/>
      </w:tblGrid>
      <w:tr>
        <w:trPr/>
        <w:tc>
          <w:tcPr>
            <w:tcW w:w="408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4">
                    <w:r>
                      <w:rPr>
                        <w:rStyle w:val="InternetLink"/>
                      </w:rPr>
                      <w:t>Jiangsu Hengrui Pharmaceuticals Co.,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 KUNLUNSHAN RD, ECON. &amp; TECH. DEV. ZONE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LIANYUNGANG</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JIANGSU</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088"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Braveheart Bio, Inc.</w:t>
              </w:r>
            </w:hyperlink>
            <w:r>
              <w:rPr/>
              <w:t xml:space="preserve"> [ </w:t>
            </w:r>
            <w:r>
              <w:rPr>
                <w:rFonts w:ascii="Times;serif" w:hAnsi="Times;serif"/>
                <w:color w:val="0000FF"/>
                <w:sz w:val="24"/>
                <w:shd w:fill="FFFFFF" w:val="clear"/>
              </w:rPr>
              <w:t>BRVE</w:t>
            </w:r>
            <w:r>
              <w:rPr/>
              <w:t xml:space="preserve"> ] </w:t>
              <w:br/>
            </w:r>
            <w:r>
              <w:rPr>
                <w:rFonts w:ascii="arial;helvetica;sans-serif" w:hAnsi="arial;helvetica;sans-serif"/>
                <w:sz w:val="20"/>
              </w:rPr>
              <w:t>Foreign Trading Symbol</w:t>
            </w:r>
          </w:p>
        </w:tc>
        <w:tc>
          <w:tcPr>
            <w:tcW w:w="3035"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6"/>
              <w:gridCol w:w="1021"/>
              <w:gridCol w:w="437"/>
              <w:gridCol w:w="1021"/>
            </w:tblGrid>
            <w:tr>
              <w:trPr/>
              <w:tc>
                <w:tcPr>
                  <w:tcW w:w="4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7"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15"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40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088"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3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408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088"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35"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36"/>
              <w:gridCol w:w="2479"/>
            </w:tblGrid>
            <w:tr>
              <w:trPr/>
              <w:tc>
                <w:tcPr>
                  <w:tcW w:w="436"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47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36"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1139"/>
        <w:gridCol w:w="441"/>
        <w:gridCol w:w="604"/>
        <w:gridCol w:w="1262"/>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7,420,091</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7,420,091</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974" w:type="dxa"/>
        <w:jc w:val="left"/>
        <w:tblInd w:w="-7" w:type="dxa"/>
        <w:tblLayout w:type="fixed"/>
        <w:tblCellMar>
          <w:top w:w="60" w:type="dxa"/>
          <w:left w:w="60" w:type="dxa"/>
          <w:bottom w:w="60" w:type="dxa"/>
          <w:right w:w="60" w:type="dxa"/>
        </w:tblCellMar>
      </w:tblPr>
      <w:tblGrid>
        <w:gridCol w:w="1100"/>
        <w:gridCol w:w="861"/>
        <w:gridCol w:w="891"/>
        <w:gridCol w:w="771"/>
        <w:gridCol w:w="591"/>
        <w:gridCol w:w="300"/>
        <w:gridCol w:w="276"/>
        <w:gridCol w:w="1071"/>
        <w:gridCol w:w="906"/>
        <w:gridCol w:w="801"/>
        <w:gridCol w:w="891"/>
        <w:gridCol w:w="1101"/>
        <w:gridCol w:w="801"/>
        <w:gridCol w:w="936"/>
        <w:gridCol w:w="831"/>
        <w:gridCol w:w="846"/>
      </w:tblGrid>
      <w:tr>
        <w:trPr>
          <w:tblHeader w:val="true"/>
        </w:trPr>
        <w:tc>
          <w:tcPr>
            <w:tcW w:w="129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Non-voting Series A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32,500,000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7,420,091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non-voting Series A preferred stock (the "Preferred Stock") of the Issuer are convertible into shares of Common Stock of the Issuer at the holder's election and have no expiration date. All shares of the Preferred Stock automatically converted into shares of Common Stock immediately prior to the closing of the Issuer's initial public offering of its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Jiangsu Hengrui Pharmaceuticals Co., Ltd. /s/ Lau Kin Chun, Chief Financial Officer, on behalf of Jiangsu Hengrui Pharmaceuticals Co., Ltd.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0343" TargetMode="External"/><Relationship Id="rId5" Type="http://schemas.openxmlformats.org/officeDocument/2006/relationships/hyperlink" Target="http://www.sec.gov/cgi-bin/browse-edgar?action=getcompany&amp;CIK=00021315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3600</Characters>
  <CharactersWithSpaces>4182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